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A1" w:rsidRDefault="00812FA1" w:rsidP="00572134">
      <w:pPr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bookmarkStart w:id="0" w:name="_GoBack"/>
      <w:bookmarkEnd w:id="0"/>
    </w:p>
    <w:p w:rsidR="00015C29" w:rsidRPr="00572134" w:rsidRDefault="00015C29" w:rsidP="00572134">
      <w:pPr>
        <w:rPr>
          <w:rFonts w:ascii="Arial" w:hAnsi="Arial" w:cs="Arial"/>
          <w:sz w:val="21"/>
          <w:szCs w:val="21"/>
        </w:rPr>
      </w:pPr>
      <w:r w:rsidRPr="003322A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TO</w:t>
      </w:r>
      <w:r w:rsidR="0009592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:</w:t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Pr="003322A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FROM</w:t>
      </w:r>
      <w:r w:rsidR="0009592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: </w:t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Pr="003322A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SUBJECT</w:t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: </w:t>
      </w:r>
      <w:r w:rsidR="001F7983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Why I should</w:t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attend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GBTA Convention</w:t>
      </w:r>
      <w:r w:rsidRPr="003322A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</w:t>
      </w:r>
      <w:r w:rsidR="00BF604D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>2017</w:t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I would like to attend </w:t>
      </w:r>
      <w:hyperlink r:id="rId8" w:history="1">
        <w:r w:rsidRPr="00FB26C5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 xml:space="preserve">GBTA Convention </w:t>
        </w:r>
        <w:r w:rsidR="00BF604D" w:rsidRPr="00FB26C5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2017</w:t>
        </w:r>
      </w:hyperlink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– </w:t>
      </w:r>
      <w:r w:rsidR="0075169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 educational and</w:t>
      </w:r>
      <w:r w:rsidR="00FF027A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networking conference in Boston, MA</w:t>
      </w:r>
      <w:r w:rsidR="0075169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where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nearly 7,000 other business travel </w:t>
      </w:r>
      <w:r w:rsidR="001F7983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colleagues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will be</w:t>
      </w:r>
      <w:r w:rsidR="001F7983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present </w:t>
      </w:r>
      <w:r w:rsidR="00BF604D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July 15th – 19th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:rsidR="00015C29" w:rsidRPr="00572134" w:rsidRDefault="00015C29" w:rsidP="00572134">
      <w:pP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572134">
        <w:rPr>
          <w:rFonts w:ascii="Arial" w:hAnsi="Arial" w:cs="Arial"/>
          <w:sz w:val="21"/>
          <w:szCs w:val="21"/>
        </w:rPr>
        <w:t xml:space="preserve">The conference will offer </w:t>
      </w:r>
      <w:r w:rsidR="00572134" w:rsidRPr="00572134">
        <w:rPr>
          <w:rFonts w:ascii="Arial" w:hAnsi="Arial" w:cs="Arial"/>
          <w:sz w:val="21"/>
          <w:szCs w:val="21"/>
        </w:rPr>
        <w:t>60+ business travel</w:t>
      </w:r>
      <w:r w:rsidRPr="00572134">
        <w:rPr>
          <w:rFonts w:ascii="Arial" w:hAnsi="Arial" w:cs="Arial"/>
          <w:sz w:val="21"/>
          <w:szCs w:val="21"/>
        </w:rPr>
        <w:t xml:space="preserve"> education sessions in a range of </w:t>
      </w:r>
      <w:r w:rsidR="00FD143D" w:rsidRPr="00572134">
        <w:rPr>
          <w:rFonts w:ascii="Arial" w:hAnsi="Arial" w:cs="Arial"/>
          <w:sz w:val="21"/>
          <w:szCs w:val="21"/>
        </w:rPr>
        <w:t>11 track</w:t>
      </w:r>
      <w:r w:rsidRPr="00572134">
        <w:rPr>
          <w:rFonts w:ascii="Arial" w:hAnsi="Arial" w:cs="Arial"/>
          <w:sz w:val="21"/>
          <w:szCs w:val="21"/>
        </w:rPr>
        <w:t>s and 8 Peer-to-Peer Think Tank Sessions</w:t>
      </w:r>
      <w:r w:rsidRPr="00572134">
        <w:rPr>
          <w:rFonts w:ascii="Arial" w:hAnsi="Arial" w:cs="Arial"/>
          <w:color w:val="000000"/>
          <w:sz w:val="21"/>
          <w:szCs w:val="21"/>
        </w:rPr>
        <w:t>.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  <w:r w:rsidR="009B69C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These sessions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will address</w:t>
      </w:r>
      <w:r w:rsidR="00F82540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the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issues that we face </w:t>
      </w:r>
      <w:r w:rsidR="00055EE0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 inform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us how </w:t>
      </w:r>
      <w:r w:rsidR="00C051C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to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implement and achieve optim</w:t>
      </w:r>
      <w:r w:rsidR="00055EE0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al outcomes within our organization</w:t>
      </w:r>
      <w:r w:rsidR="0075169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:rsidR="00015C29" w:rsidRPr="00572134" w:rsidRDefault="00696E46" w:rsidP="00015C29">
      <w:pPr>
        <w:spacing w:before="100" w:beforeAutospacing="1" w:after="100" w:afterAutospacing="1" w:line="288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This</w:t>
      </w:r>
      <w:r w:rsidR="00015C2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event is also an opportunity for me to network </w:t>
      </w:r>
      <w:r w:rsidR="00C051CE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 benefit from</w:t>
      </w:r>
      <w:r w:rsidR="00C051C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the insight of</w:t>
      </w:r>
      <w:r w:rsidR="00C051CE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  <w:r w:rsidR="00015C2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other business travel professionals who </w:t>
      </w:r>
      <w:r w:rsidR="00FD143D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face </w:t>
      </w:r>
      <w:r w:rsidR="00C051C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similar challenges</w:t>
      </w:r>
      <w:r w:rsidR="00015C2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. 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Attending GBTA Convention </w:t>
      </w:r>
      <w:r w:rsidR="00BF604D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2017</w:t>
      </w:r>
      <w:r w:rsidR="00783E01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will afford us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access to hundreds of</w:t>
      </w:r>
      <w:r w:rsidR="003B5B78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business travel industry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suppliers</w:t>
      </w:r>
      <w:r w:rsidR="003B5B78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and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to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find out </w:t>
      </w:r>
      <w:r w:rsidR="00055EE0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how their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latest developments</w:t>
      </w:r>
      <w:r w:rsidR="00FB26C5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will benefit us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  <w:r w:rsidRPr="00696E4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  <w:r w:rsidR="00762311" w:rsidRPr="00696E4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The robust conference agenda can be found </w:t>
      </w:r>
      <w:hyperlink r:id="rId9" w:history="1">
        <w:r w:rsidR="00762311" w:rsidRPr="00696E46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here</w:t>
        </w:r>
      </w:hyperlink>
      <w:r w:rsidR="00762311" w:rsidRPr="00696E4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  <w:r w:rsidR="0077218F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="00015C2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="00266575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Here are the goals I plan to </w:t>
      </w:r>
      <w:r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accomplish</w:t>
      </w:r>
      <w:r w:rsidR="00015C29" w:rsidRPr="0057213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:</w:t>
      </w:r>
    </w:p>
    <w:p w:rsidR="00015C29" w:rsidRPr="00751699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1"/>
          <w:szCs w:val="21"/>
          <w:lang w:eastAsia="en-GB"/>
        </w:rPr>
      </w:pPr>
      <w:r w:rsidRPr="00751699">
        <w:rPr>
          <w:rFonts w:ascii="Arial" w:eastAsia="Times New Roman" w:hAnsi="Arial" w:cs="Arial"/>
          <w:i/>
          <w:color w:val="000000" w:themeColor="text1"/>
          <w:sz w:val="21"/>
          <w:szCs w:val="21"/>
          <w:lang w:eastAsia="en-GB"/>
        </w:rPr>
        <w:t>Enter Goal 1</w:t>
      </w:r>
    </w:p>
    <w:p w:rsidR="00015C29" w:rsidRPr="00751699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1"/>
          <w:szCs w:val="21"/>
          <w:lang w:eastAsia="en-GB"/>
        </w:rPr>
      </w:pPr>
      <w:r w:rsidRPr="00751699">
        <w:rPr>
          <w:rFonts w:ascii="Arial" w:eastAsia="Times New Roman" w:hAnsi="Arial" w:cs="Arial"/>
          <w:i/>
          <w:color w:val="000000" w:themeColor="text1"/>
          <w:sz w:val="21"/>
          <w:szCs w:val="21"/>
          <w:lang w:eastAsia="en-GB"/>
        </w:rPr>
        <w:t>Enter Goal 2</w:t>
      </w:r>
    </w:p>
    <w:p w:rsidR="00015C29" w:rsidRPr="00751699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hAnsi="Arial"/>
          <w:i/>
          <w:color w:val="000000" w:themeColor="text1"/>
          <w:sz w:val="21"/>
          <w:szCs w:val="21"/>
          <w:lang w:eastAsia="en-GB"/>
        </w:rPr>
      </w:pPr>
      <w:r w:rsidRPr="00751699">
        <w:rPr>
          <w:rFonts w:ascii="Arial" w:eastAsia="Times New Roman" w:hAnsi="Arial" w:cs="Arial"/>
          <w:i/>
          <w:color w:val="000000" w:themeColor="text1"/>
          <w:sz w:val="21"/>
          <w:szCs w:val="21"/>
          <w:lang w:eastAsia="en-GB"/>
        </w:rPr>
        <w:t>Enter Goal 3</w:t>
      </w:r>
    </w:p>
    <w:p w:rsidR="00015C29" w:rsidRPr="003322AF" w:rsidRDefault="005D69D2" w:rsidP="00015C29">
      <w:pPr>
        <w:spacing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I have calculated an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approximate breakdown of costs</w:t>
      </w:r>
      <w:r w:rsidR="00195F6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associated with my attendance:</w:t>
      </w:r>
    </w:p>
    <w:tbl>
      <w:tblPr>
        <w:tblStyle w:val="ListTable2Accent5"/>
        <w:tblW w:w="9912" w:type="dxa"/>
        <w:tblCellMar>
          <w:top w:w="43" w:type="dxa"/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290"/>
        <w:gridCol w:w="2622"/>
      </w:tblGrid>
      <w:tr w:rsidR="00015C29" w:rsidRPr="003322AF" w:rsidTr="0057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tcW w:w="7290" w:type="dxa"/>
            <w:vAlign w:val="bottom"/>
          </w:tcPr>
          <w:p w:rsidR="00015C29" w:rsidRPr="00CC5681" w:rsidRDefault="00015C29" w:rsidP="00E935E4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Convention</w:t>
            </w:r>
            <w:r w:rsidR="004C69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Registration</w:t>
            </w: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4C6987" w:rsidRPr="00616D90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*This includes access to all</w:t>
            </w:r>
            <w:r w:rsidRPr="00616D90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 xml:space="preserve"> education sessions</w:t>
            </w:r>
            <w:r w:rsidR="004C6987" w:rsidRPr="00616D90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, networking, the Expo Hall and lunch during the Convention Arena Luncheon Monday</w:t>
            </w:r>
            <w:r w:rsidR="000C303B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, July 17</w:t>
            </w:r>
            <w:r w:rsidR="00E935E4" w:rsidRPr="00E935E4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 xml:space="preserve">th </w:t>
            </w:r>
            <w:r w:rsidR="000C303B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– Wednesday, July 19</w:t>
            </w:r>
            <w:r w:rsidR="00E935E4" w:rsidRPr="00E935E4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th</w:t>
            </w:r>
            <w:r w:rsidRPr="00616D90">
              <w:rPr>
                <w:rFonts w:ascii="Arial" w:eastAsia="Times New Roman" w:hAnsi="Arial" w:cs="Arial"/>
                <w:sz w:val="14"/>
                <w:szCs w:val="18"/>
                <w:lang w:eastAsia="en-GB"/>
              </w:rPr>
              <w:t>.</w:t>
            </w:r>
          </w:p>
        </w:tc>
        <w:tc>
          <w:tcPr>
            <w:tcW w:w="2622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15C29" w:rsidRPr="003322AF" w:rsidTr="00572134">
        <w:trPr>
          <w:trHeight w:val="31"/>
        </w:trPr>
        <w:tc>
          <w:tcPr>
            <w:tcW w:w="7290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Accommodations estimate</w:t>
            </w:r>
          </w:p>
        </w:tc>
        <w:tc>
          <w:tcPr>
            <w:tcW w:w="2622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15C29" w:rsidRPr="003322AF" w:rsidTr="00FF0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7290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Flight estimate</w:t>
            </w:r>
          </w:p>
        </w:tc>
        <w:tc>
          <w:tcPr>
            <w:tcW w:w="2622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15C29" w:rsidRPr="003322AF" w:rsidTr="00572134">
        <w:trPr>
          <w:trHeight w:val="712"/>
        </w:trPr>
        <w:tc>
          <w:tcPr>
            <w:tcW w:w="7290" w:type="dxa"/>
            <w:vAlign w:val="bottom"/>
          </w:tcPr>
          <w:p w:rsidR="00015C29" w:rsidRPr="00CC5681" w:rsidRDefault="00015C29" w:rsidP="00572134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Development Course</w:t>
            </w:r>
            <w:r w:rsidR="005721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 and Sessions</w:t>
            </w: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E935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offered July 1</w:t>
            </w:r>
            <w:r w:rsidR="005721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935E4" w:rsidRPr="00E935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E935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July 1</w:t>
            </w:r>
            <w:r w:rsidR="005721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E935E4" w:rsidRPr="00E935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C56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22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015C29" w:rsidRPr="003322AF" w:rsidTr="0057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7290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C568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622" w:type="dxa"/>
            <w:vAlign w:val="bottom"/>
          </w:tcPr>
          <w:p w:rsidR="00015C29" w:rsidRPr="00CC5681" w:rsidRDefault="00015C29" w:rsidP="00055EE0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</w:tbl>
    <w:p w:rsidR="00015C29" w:rsidRPr="003322AF" w:rsidRDefault="00015C29" w:rsidP="00015C29">
      <w:pPr>
        <w:spacing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:rsidR="00015C29" w:rsidRDefault="009B69C9" w:rsidP="00015C29">
      <w:pP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Once I return, 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I will </w:t>
      </w:r>
      <w:r w:rsidR="00E55C8A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send you a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summary report</w:t>
      </w:r>
      <w:r w:rsidR="000C303B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share</w:t>
      </w:r>
      <w:r w:rsidR="00E55C8A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new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trends</w:t>
      </w:r>
      <w:r w:rsidR="00E935E4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and strategies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that</w:t>
      </w:r>
      <w:r w:rsidR="00E55C8A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I 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learned</w:t>
      </w:r>
      <w:r w:rsidR="00E55C8A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="00015C29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  <w:t>Thank you for your consideration.</w:t>
      </w:r>
    </w:p>
    <w:p w:rsidR="00490722" w:rsidRPr="003322AF" w:rsidRDefault="00490722" w:rsidP="00015C29">
      <w:pP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</w:p>
    <w:p w:rsidR="00195F66" w:rsidRPr="00195F66" w:rsidRDefault="00015C29">
      <w:pP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Sincerely</w:t>
      </w:r>
      <w:r w:rsidR="00A92DEC" w:rsidRPr="003322A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, </w:t>
      </w:r>
      <w:r w:rsidR="00F04F11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br/>
      </w:r>
      <w:r w:rsidR="00F04F11" w:rsidRPr="00A92DEC">
        <w:rPr>
          <w:rFonts w:ascii="Arial" w:eastAsia="Times New Roman" w:hAnsi="Arial" w:cs="Arial"/>
          <w:sz w:val="21"/>
          <w:szCs w:val="21"/>
          <w:lang w:eastAsia="en-GB"/>
        </w:rPr>
        <w:t>Your Name Here</w:t>
      </w:r>
    </w:p>
    <w:sectPr w:rsidR="00195F66" w:rsidRPr="00195F66" w:rsidSect="00812FA1">
      <w:headerReference w:type="default" r:id="rId10"/>
      <w:pgSz w:w="12240" w:h="15840"/>
      <w:pgMar w:top="99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A1" w:rsidRDefault="00812FA1" w:rsidP="00812FA1">
      <w:pPr>
        <w:spacing w:after="0" w:line="240" w:lineRule="auto"/>
      </w:pPr>
      <w:r>
        <w:separator/>
      </w:r>
    </w:p>
  </w:endnote>
  <w:endnote w:type="continuationSeparator" w:id="0">
    <w:p w:rsidR="00812FA1" w:rsidRDefault="00812FA1" w:rsidP="0081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A1" w:rsidRDefault="00812FA1" w:rsidP="00812FA1">
      <w:pPr>
        <w:spacing w:after="0" w:line="240" w:lineRule="auto"/>
      </w:pPr>
      <w:r>
        <w:separator/>
      </w:r>
    </w:p>
  </w:footnote>
  <w:footnote w:type="continuationSeparator" w:id="0">
    <w:p w:rsidR="00812FA1" w:rsidRDefault="00812FA1" w:rsidP="0081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A1" w:rsidRDefault="00812F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topMargin">
                <wp:posOffset>17942</wp:posOffset>
              </wp:positionV>
              <wp:extent cx="7761767" cy="1190847"/>
              <wp:effectExtent l="0" t="0" r="0" b="952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1767" cy="11908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2FA1" w:rsidRDefault="00F05BE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654275" cy="1175657"/>
                                <wp:effectExtent l="0" t="0" r="4445" b="571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onvergenceBanner_ForPrin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0080" cy="1193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12FA1"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1.4pt;width:611.1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" o:allowincell="f" filled="f" stroked="f">
              <v:textbox inset=",0,,0">
                <w:txbxContent>
                  <w:p w:rsidR="00812FA1" w:rsidRDefault="00F05BE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654275" cy="1175657"/>
                          <wp:effectExtent l="0" t="0" r="4445" b="571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onvergenceBanner_ForPrint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70080" cy="11934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12FA1">
                      <w:ptab w:relativeTo="margin" w:alignment="center" w:leader="none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59"/>
    <w:multiLevelType w:val="hybridMultilevel"/>
    <w:tmpl w:val="7B5AAAC6"/>
    <w:lvl w:ilvl="0" w:tplc="106C67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29"/>
    <w:rsid w:val="00015C29"/>
    <w:rsid w:val="00055EE0"/>
    <w:rsid w:val="00095924"/>
    <w:rsid w:val="000C303B"/>
    <w:rsid w:val="00184242"/>
    <w:rsid w:val="00195F66"/>
    <w:rsid w:val="001F7983"/>
    <w:rsid w:val="00266575"/>
    <w:rsid w:val="003B5B78"/>
    <w:rsid w:val="004226C3"/>
    <w:rsid w:val="00490722"/>
    <w:rsid w:val="004C6987"/>
    <w:rsid w:val="00500AFF"/>
    <w:rsid w:val="00572134"/>
    <w:rsid w:val="005D69D2"/>
    <w:rsid w:val="00616D90"/>
    <w:rsid w:val="00673914"/>
    <w:rsid w:val="00696E46"/>
    <w:rsid w:val="006C033A"/>
    <w:rsid w:val="0071025B"/>
    <w:rsid w:val="00751699"/>
    <w:rsid w:val="00762311"/>
    <w:rsid w:val="0077218F"/>
    <w:rsid w:val="00783E01"/>
    <w:rsid w:val="00812FA1"/>
    <w:rsid w:val="009B69C9"/>
    <w:rsid w:val="009D406A"/>
    <w:rsid w:val="00A92DEC"/>
    <w:rsid w:val="00AC34AA"/>
    <w:rsid w:val="00BF604D"/>
    <w:rsid w:val="00C051CE"/>
    <w:rsid w:val="00C3433B"/>
    <w:rsid w:val="00C964B6"/>
    <w:rsid w:val="00CF3976"/>
    <w:rsid w:val="00DA5F07"/>
    <w:rsid w:val="00E55C8A"/>
    <w:rsid w:val="00E935E4"/>
    <w:rsid w:val="00EC1A14"/>
    <w:rsid w:val="00F04F11"/>
    <w:rsid w:val="00F05BEB"/>
    <w:rsid w:val="00F506E5"/>
    <w:rsid w:val="00F82540"/>
    <w:rsid w:val="00F935B7"/>
    <w:rsid w:val="00FB26C5"/>
    <w:rsid w:val="00FD143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customStyle="1" w:styleId="ListTable2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customStyle="1" w:styleId="ListTable2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ntion.gbta.org/?utm_source=BuyerROI&amp;utm_medium=Email&amp;utm_campaign=Convention20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vention.gbta.org/Agenda?utm_source=BuyerROI&amp;utm_medium=Email&amp;utm_campaign=Convention20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Sonesta International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Chan</dc:creator>
  <cp:lastModifiedBy>Oliver, Charles</cp:lastModifiedBy>
  <cp:revision>2</cp:revision>
  <cp:lastPrinted>2016-12-19T19:37:00Z</cp:lastPrinted>
  <dcterms:created xsi:type="dcterms:W3CDTF">2017-03-28T14:21:00Z</dcterms:created>
  <dcterms:modified xsi:type="dcterms:W3CDTF">2017-03-28T14:21:00Z</dcterms:modified>
</cp:coreProperties>
</file>